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EF" w:rsidRPr="00E121EF" w:rsidRDefault="00E121EF" w:rsidP="00E12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>М Е Т О Д И К А</w:t>
      </w:r>
    </w:p>
    <w:p w:rsidR="00E121EF" w:rsidRPr="00E121EF" w:rsidRDefault="00E121EF" w:rsidP="00E12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</w:pPr>
      <w:proofErr w:type="spellStart"/>
      <w:r w:rsidRPr="00E121E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определяне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комплексната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оценка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оферта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възлагане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обществена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поръчка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E121EF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E121EF">
        <w:rPr>
          <w:rFonts w:ascii="Times New Roman" w:hAnsi="Times New Roman"/>
          <w:b/>
          <w:sz w:val="24"/>
          <w:szCs w:val="24"/>
        </w:rPr>
        <w:t xml:space="preserve"> </w:t>
      </w:r>
      <w:r w:rsidRPr="00E121EF">
        <w:rPr>
          <w:rFonts w:ascii="Times New Roman" w:hAnsi="Times New Roman"/>
          <w:i/>
          <w:sz w:val="24"/>
          <w:szCs w:val="24"/>
        </w:rPr>
        <w:t>„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Услуга по доставка на топъл обяд за реализацията на социална услуга „Обществена трапезария” в община Садово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” по обособени позиции:</w:t>
      </w: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Обособена позиция 1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 xml:space="preserve"> „Доставка на топъл обяд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 за 55 потребителя в селата на община Садово – Караджово и Богданица”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E121EF" w:rsidRPr="00E121EF" w:rsidRDefault="00E121EF" w:rsidP="00E121EF">
      <w:pPr>
        <w:pStyle w:val="a3"/>
        <w:shd w:val="clear" w:color="auto" w:fill="FFFFFF"/>
        <w:ind w:right="363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E121EF">
        <w:rPr>
          <w:rFonts w:ascii="Times New Roman" w:hAnsi="Times New Roman"/>
          <w:bCs/>
          <w:sz w:val="24"/>
          <w:szCs w:val="24"/>
          <w:lang w:val="bg-BG" w:eastAsia="ar-SA"/>
        </w:rPr>
        <w:t xml:space="preserve">Обособена позиция 2 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121EF">
        <w:rPr>
          <w:rFonts w:ascii="Times New Roman" w:hAnsi="Times New Roman"/>
          <w:i/>
          <w:sz w:val="24"/>
          <w:szCs w:val="24"/>
          <w:lang w:val="bg-BG"/>
        </w:rPr>
        <w:t>„Доставка на топъл обяд</w:t>
      </w:r>
      <w:r w:rsidRPr="00E121EF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 за 57 потребителя в селата на община Садово – Катуница, Поповица и Моминско”</w:t>
      </w:r>
      <w:r w:rsidRPr="00E121EF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E121EF" w:rsidRPr="00E121EF" w:rsidRDefault="00E121EF" w:rsidP="00E121EF">
      <w:pPr>
        <w:pStyle w:val="Standard"/>
        <w:shd w:val="clear" w:color="auto" w:fill="FFFFFF"/>
        <w:jc w:val="both"/>
        <w:rPr>
          <w:rFonts w:cs="Times New Roman"/>
          <w:b/>
          <w:bCs/>
          <w:lang w:eastAsia="ar-SA"/>
        </w:rPr>
      </w:pPr>
      <w:r w:rsidRPr="00E121EF">
        <w:rPr>
          <w:rFonts w:cs="Times New Roman"/>
          <w:bCs/>
          <w:lang w:eastAsia="ar-SA"/>
        </w:rPr>
        <w:t xml:space="preserve">Обособена позиция 3  </w:t>
      </w:r>
      <w:r w:rsidRPr="00E121EF">
        <w:rPr>
          <w:rFonts w:cs="Times New Roman"/>
          <w:i/>
        </w:rPr>
        <w:t>„Доставка на топъл обяд</w:t>
      </w:r>
      <w:r w:rsidRPr="00E121EF">
        <w:rPr>
          <w:rFonts w:cs="Times New Roman"/>
          <w:i/>
          <w:shd w:val="clear" w:color="auto" w:fill="FFFFFF"/>
        </w:rPr>
        <w:t xml:space="preserve"> за 38 потребителя в град Садово и село Чешнегирово”</w:t>
      </w:r>
    </w:p>
    <w:p w:rsidR="00E121EF" w:rsidRPr="00E121EF" w:rsidRDefault="00E121EF" w:rsidP="00E121E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ab/>
      </w:r>
      <w:r w:rsidRPr="00E121EF">
        <w:rPr>
          <w:rFonts w:ascii="Times New Roman" w:hAnsi="Times New Roman" w:cs="Times New Roman"/>
          <w:sz w:val="24"/>
          <w:szCs w:val="24"/>
        </w:rPr>
        <w:t>Оптималното съотношение качество/цена се оценява въз основа на цената и на показатели, включващи качествени аспекти, свързани с предмета на обществената поръчка – организация на работа, управление на риска и срок за реакция при замяна на съставни части от обяда, видимо несъответстващи на изискванията или с допълнително установени скрити дефекти.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Методиката се прилага за всяка обособена позиция поотделно, само по отношение на офертите на участниците, които не са отстранени от участие и които отговарят на обявените от възложителя изисквания.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За икономически най-изгодна оферта се счита тази, която е получила най-висока комплексна оценка. Класирането на офертите ще се извършва по низходящ ред на получената оценка, като на първо място се класира офертата с най-висока оценка. Комплексната оценка на офертата представлява сборът от точките, които тя е получила по посочените показатели за определяне на комплексната оценка. 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</w:r>
      <w:r w:rsidRPr="00E121EF">
        <w:rPr>
          <w:rFonts w:ascii="Times New Roman" w:hAnsi="Times New Roman" w:cs="Times New Roman"/>
          <w:b/>
          <w:sz w:val="24"/>
          <w:szCs w:val="24"/>
        </w:rPr>
        <w:t>Начин на определяне на оценката по всеки показател: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1.Показател 1 (П1) – „Цена” с относителна тежест 50 %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Максималният брой точки получава офертата с предложена най-ниска обща цена за изпълнение на обществената поръчка – 50 точки.  Точките на останалите участници се определят в съотношение към най-ниската предложена цена по следната формула: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 мин.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П1 о = 50 х  ---------------------------------------------, където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 к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„П1 о” е оценката по показател 1 – Цена на конкретния участник;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lastRenderedPageBreak/>
        <w:t xml:space="preserve">        „Ц мин.” е най-ниската предложена цена в лева от участник, чиято оферта отговаря на обявените изисквания;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„Ц к” е предложената цена в лева в ценовото предложение на конкретния участник.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Точките се закръглят до втория знак след десетичната запетая (точка).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2.Показател 2 (П2) – „Организация на работа” с относителна тежест 19 %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Оценката по този показател се извършва на база представена от участника обяснителна записка за организацията на работа, съдържаща следните елементи: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-описание на действията на членовете на екипа;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-описание на отговорностите на членовете на екипа и механизъм за реализацията им при неизпълнение;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-начин на извършване на доставките – организация, координация и документиране на целия процес по изпълнението на доставките.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С 19 точки се оценява офертата, в която е представена изчерпателно и аргументирано организацията на работа във връзка с изпълнението.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С 10 точки се оценява офертата, в която е налице неизчерпателност и/или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един елемент от обяснителната записка.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С 1 точка се оценява офертата, в която е налице неизчерпателност и/или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повече от един елемент от обяснителната записка.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Когато е налице неизчерпателност или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на повече от половината на съдържанието на обяснителната записка, участникът не получава точки по този показател.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Под изчерпателно и аргументирано представяне на организацията на работа във връзка с изпълнението на обществената поръчка се разбира представяне на  информация относно процеса на организация на работата във връзка с изпълнението на обществената поръчка за съответната обособена позиция, включително детайлно описание на организационните възможности на участника, методи на работа, гарантиращи ефикасност, бързина и качество на извършването на доставките, информация относно предвижданите действия на членовете на екипа, който ще бъде ангажиран с изпълнението поръчката, разпределението на отговорностите на членовете на екипа, механизма на реализиране на отговорност при неизпълнение на задълженията, организация и координация на целия процес по извършването на доставките – начин и оптимален срок на съхранение, опаковане и транспортиране на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обядите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и други, като за всеки от елементите са изложени аргументи за адекватността му.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Неизчерпателност е налице, когато участникът в обществената поръчка е представил само най-общо информация по някои от елементите детайлно описание на организационните възможности на участника, методи на работа, гарантиращи </w:t>
      </w:r>
      <w:r w:rsidRPr="00E121EF">
        <w:rPr>
          <w:rFonts w:ascii="Times New Roman" w:hAnsi="Times New Roman" w:cs="Times New Roman"/>
          <w:sz w:val="24"/>
          <w:szCs w:val="24"/>
        </w:rPr>
        <w:lastRenderedPageBreak/>
        <w:t>ефикасност, бързина и качество на извършването на доставките, информация относно предвижданите действия на членовете на екипа, който ще бъде ангажиран с изпълнението поръчката, разпределението на отговорностите на членовете на екипа, механизма на реализиране на отговорност при неизпълнение на задълженията, организация и координация на целия процес по извършването на доставките – начин и оптимален срок на съхранение, опаковане и транспортиране на продуктите.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121EF">
        <w:rPr>
          <w:rFonts w:ascii="Times New Roman" w:hAnsi="Times New Roman" w:cs="Times New Roman"/>
          <w:sz w:val="24"/>
          <w:szCs w:val="24"/>
        </w:rPr>
        <w:t>Неаргументираност</w:t>
      </w:r>
      <w:proofErr w:type="spellEnd"/>
      <w:r w:rsidRPr="00E121EF">
        <w:rPr>
          <w:rFonts w:ascii="Times New Roman" w:hAnsi="Times New Roman" w:cs="Times New Roman"/>
          <w:sz w:val="24"/>
          <w:szCs w:val="24"/>
        </w:rPr>
        <w:t xml:space="preserve"> е налице, когато участникът не е изложил аргументи за адекватността на съответния елемент или когато съществува противоречие между начина на прилагане на съответния елемент или между различни елементи.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3.Показател 3 (П3) – „Управление на риска” с относителна тежест 19 %.</w:t>
      </w:r>
    </w:p>
    <w:p w:rsidR="00E121EF" w:rsidRPr="00E121EF" w:rsidRDefault="00E121EF" w:rsidP="00E121EF">
      <w:pPr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>Оценката по този показател се извършва на база представена от участника обяснителна записка за управлението на риска.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този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показател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ще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извършва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оценка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предложените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участника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мерки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идентифицираните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оказващи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влияние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върху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изпълнението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както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предложените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мерки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намаляване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влиянието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ограничаването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обяснителната записка за управление на риска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участниците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трябва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да оценят присъщите рискове спрямо всеки един от идентифицираните от възложителя рискове, включително влиянието им и вероятността от настъпването им,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определят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адекватни мерки за преодоляване на всеки от рисковете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тяхното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минимизиране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да оценят остатъчните рискове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опишат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евентуалните необходими действия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успешното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изпълнение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цел по-голяма яснота трябва да се посочи използваната скала за оценка на риска.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изработването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обяснителната записка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следва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предвид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подлежат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чието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настъпване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зависи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Важно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съществено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предложенията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относно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предпоставките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е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обхванат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посочени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потенциални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свързани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предмета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настоящата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поръчка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принцип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Мерките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управление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свързани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мерки за преодоляване и намаляване на рисковете,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предложени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участни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, определен за изпълнител на поръчката,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считат за неразделна част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договора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задължителни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изпълнение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през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действие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то му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E121EF" w:rsidRPr="00E121EF" w:rsidRDefault="00E121EF" w:rsidP="00E121EF">
      <w:pPr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Рисковете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предпоставките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идентифицирани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възложителя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могат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окажат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влияние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върху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изпълнението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договора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обществената поръчка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E12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следните</w:t>
      </w:r>
      <w:r w:rsidRPr="00E121E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-риск от влошаване качеството на обяда, изискващ различен температурен режим на превоз;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-риск от забава при извършване на доставките;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-риск от несвоевременна реакция при необходимост от замяна на некачествени или повредени </w:t>
      </w:r>
      <w:proofErr w:type="spellStart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обяди</w:t>
      </w:r>
      <w:proofErr w:type="spellEnd"/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 19 точки се оценява офертата, в която се съдържат всички изискуеми по-горе елементи на управлението на риска, които са аргументирани и логически обвързани.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10 точки се оценява офертата при една от следните хипотези: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-В офертата се съдържат изискуемите по-горе елементи на управлението на риска, но липсва логическа връзка между два или три елемента;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-Рисковете са оценени по изискуемия начин, но не е посочена използваната скала за оценка на риска, а останалите елементи са представени в пълнота и аргументирана логическа обвързаност;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предложена мярка за преодоляване или намаляване спрямо един от горепосочените рискове, а останалите елементи са представени в пълнота и аргументирана логическа обвързаност;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оценка на остатъчния риск или присъщия риск, а останалите елементи са представени в пълнота и аргументирана логическа обвързаност;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-Когато се установят до две несъответствия при оценката на риска, а в останалата част е налице съответствие и аргументирана логическа обвързаност;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-Друга хипотеза, приблизително еквивалентна на по-горните.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1 точка се оценява офертата при една от следните хипотези: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-В офертата се съдържат изискуемите по-горе елементи на управлението на риска, но липсва логическа връзка между повече от три елемента; 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-В офертата не се съдържат два или три от изискуемите по-горе елементи;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липсват предложени мерки за преодоляване или намаляване спрямо два от горепосочените рискове;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липсва оценка на присъщия и остатъчния риск;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-Когато се установят повече от две несъответствия при оценката на риска и другите елементи;</w:t>
      </w:r>
    </w:p>
    <w:p w:rsidR="00E121EF" w:rsidRPr="00E121EF" w:rsidRDefault="00E121EF" w:rsidP="00E121EF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121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-Друга хипотеза, приблизително еквивалентна на по-горните.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21EF">
        <w:rPr>
          <w:rFonts w:ascii="Times New Roman" w:hAnsi="Times New Roman" w:cs="Times New Roman"/>
          <w:sz w:val="24"/>
          <w:szCs w:val="24"/>
        </w:rPr>
        <w:t>Оферта, в която управлението на риска е представено под нивото на хипотези, в които получава оценка 1 точка, не получава точки.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4.Показател 4 (П4) – „Срок за реакция при рекламация” с относителна тежест 12 %.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 xml:space="preserve">Предложеният срок за реакция при рекламация следва да е в часове от получаването на рекламацията. Под реакция следва да се разбира срока за извършване на необходима замяна на съставните части на обяда, видимо несъответстващи на </w:t>
      </w:r>
      <w:r w:rsidRPr="00E121EF">
        <w:rPr>
          <w:rFonts w:ascii="Times New Roman" w:hAnsi="Times New Roman" w:cs="Times New Roman"/>
          <w:sz w:val="24"/>
          <w:szCs w:val="24"/>
        </w:rPr>
        <w:lastRenderedPageBreak/>
        <w:t xml:space="preserve">изискванията на доставката и/или на необходимата замяна на съставни части на обяда с допълнително установени скрити дефекти след доставката.   Максималният брой точки получава офертата, в която е предложен най-краткия срок за реакция при рекламация – 12 точки. </w:t>
      </w:r>
      <w:r w:rsidR="000E5F3A">
        <w:rPr>
          <w:rFonts w:ascii="Times New Roman" w:hAnsi="Times New Roman" w:cs="Times New Roman"/>
          <w:sz w:val="24"/>
          <w:szCs w:val="24"/>
        </w:rPr>
        <w:t xml:space="preserve">Срокът за реакция при рекламация не може да е по – дълъг от 1.5 часа от получаване на рекламация. </w:t>
      </w:r>
      <w:r w:rsidRPr="00E121EF">
        <w:rPr>
          <w:rFonts w:ascii="Times New Roman" w:hAnsi="Times New Roman" w:cs="Times New Roman"/>
          <w:sz w:val="24"/>
          <w:szCs w:val="24"/>
        </w:rPr>
        <w:t>Точките на останалите участници се определят в съотношение към най-краткия предложен срок по следната формула: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 мин.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П4 о = 12 х ------------------------------------------, където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 к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„П4 о” е оценката по показател 4 – Срок за реакция при рекламация на конкретния участник;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„Т мин.” е най-краткия предложен срок за реакция при рекламация в часове от участник, чиято оферта отговаря на обявените изисквания;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„Т к” е предложения срок за реакция при рекламация в офертата на конкретния участник.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Точките се закръглят до втория знак след десетичната запетая (точка).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</w:r>
      <w:r w:rsidRPr="00E121EF">
        <w:rPr>
          <w:rFonts w:ascii="Times New Roman" w:hAnsi="Times New Roman" w:cs="Times New Roman"/>
          <w:b/>
          <w:sz w:val="24"/>
          <w:szCs w:val="24"/>
        </w:rPr>
        <w:t>Начин на формиране на комплексната оценка на офертата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ab/>
        <w:t>Комплексната оценка (КО) на офертата на съответния участник се определя по формулата: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КО = П1 о + П2 о + П3 о + П4 о</w:t>
      </w:r>
    </w:p>
    <w:p w:rsidR="00E121EF" w:rsidRPr="00E121EF" w:rsidRDefault="00E121EF" w:rsidP="00E121EF">
      <w:pPr>
        <w:shd w:val="clear" w:color="auto" w:fill="FFFFFF"/>
        <w:spacing w:after="14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1EF">
        <w:rPr>
          <w:rFonts w:ascii="Times New Roman" w:hAnsi="Times New Roman" w:cs="Times New Roman"/>
          <w:sz w:val="24"/>
          <w:szCs w:val="24"/>
        </w:rPr>
        <w:t xml:space="preserve">        Комплексната оценка на офертата на конкретния участник се формира чрез сбор на получените точки по всички показатели.  </w:t>
      </w: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shd w:val="clear" w:color="auto" w:fill="FFFFFF"/>
        <w:spacing w:after="144"/>
        <w:ind w:firstLine="284"/>
        <w:jc w:val="both"/>
      </w:pPr>
    </w:p>
    <w:p w:rsidR="00E121EF" w:rsidRDefault="00E121EF" w:rsidP="00E121EF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E121EF" w:rsidRDefault="00E121EF" w:rsidP="00E121EF">
      <w:pPr>
        <w:pStyle w:val="Standard"/>
        <w:shd w:val="clear" w:color="auto" w:fill="FFFFFF"/>
        <w:spacing w:after="144"/>
        <w:ind w:firstLine="284"/>
        <w:jc w:val="center"/>
        <w:rPr>
          <w:rFonts w:cs="Times New Roman"/>
          <w:b/>
          <w:lang w:eastAsia="bg-BG"/>
        </w:rPr>
      </w:pPr>
    </w:p>
    <w:p w:rsidR="00DA51A8" w:rsidRDefault="00DA51A8"/>
    <w:sectPr w:rsidR="00DA51A8" w:rsidSect="000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121EF"/>
    <w:rsid w:val="000B393E"/>
    <w:rsid w:val="000E5F3A"/>
    <w:rsid w:val="00DA51A8"/>
    <w:rsid w:val="00DB7373"/>
    <w:rsid w:val="00E121EF"/>
    <w:rsid w:val="00E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121EF"/>
    <w:pPr>
      <w:autoSpaceDN w:val="0"/>
      <w:spacing w:after="120" w:line="240" w:lineRule="auto"/>
      <w:jc w:val="both"/>
    </w:pPr>
    <w:rPr>
      <w:rFonts w:ascii="Timok" w:eastAsia="Times New Roman" w:hAnsi="Timok" w:cs="Times New Roman"/>
      <w:sz w:val="20"/>
      <w:szCs w:val="20"/>
      <w:lang w:val="en-GB" w:eastAsia="en-US"/>
    </w:rPr>
  </w:style>
  <w:style w:type="character" w:customStyle="1" w:styleId="a4">
    <w:name w:val="Основен текст Знак"/>
    <w:basedOn w:val="a0"/>
    <w:link w:val="a3"/>
    <w:rsid w:val="00E121EF"/>
    <w:rPr>
      <w:rFonts w:ascii="Timok" w:eastAsia="Times New Roman" w:hAnsi="Timok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9299</Characters>
  <Application>Microsoft Office Word</Application>
  <DocSecurity>0</DocSecurity>
  <Lines>77</Lines>
  <Paragraphs>21</Paragraphs>
  <ScaleCrop>false</ScaleCrop>
  <Company>Grizli777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2018-04-20T11:32:00Z</dcterms:created>
  <dcterms:modified xsi:type="dcterms:W3CDTF">2019-03-25T11:51:00Z</dcterms:modified>
</cp:coreProperties>
</file>